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b/>
          <w:bCs/>
          <w:sz w:val="28"/>
          <w:szCs w:val="28"/>
        </w:rPr>
      </w:pPr>
      <w:bookmarkStart w:id="0" w:name="_Hlk56897102"/>
      <w:r>
        <w:rPr>
          <w:rFonts w:hint="eastAsia" w:ascii="宋体" w:hAnsi="宋体" w:eastAsia="宋体"/>
          <w:b/>
          <w:bCs/>
          <w:sz w:val="28"/>
          <w:szCs w:val="28"/>
        </w:rPr>
        <w:t>附件</w:t>
      </w:r>
      <w:r>
        <w:rPr>
          <w:rFonts w:ascii="宋体" w:hAnsi="宋体" w:eastAsia="宋体"/>
          <w:b/>
          <w:bCs/>
          <w:sz w:val="28"/>
          <w:szCs w:val="28"/>
        </w:rPr>
        <w:t>3</w:t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“</w:t>
      </w:r>
      <w:r>
        <w:rPr>
          <w:rFonts w:hint="eastAsia" w:ascii="宋体" w:hAnsi="宋体" w:eastAsia="宋体"/>
          <w:b/>
          <w:bCs/>
          <w:sz w:val="44"/>
          <w:szCs w:val="44"/>
        </w:rPr>
        <w:t>宿迁精品”品牌申报说明</w:t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44"/>
          <w:szCs w:val="44"/>
          <w:lang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申报组织按照要求下载并填报承诺书和“宿迁精品”品牌申报表，需另附说明材料的，按顺序依次附后。全部纸质申报材料需装订成册，沿长边装订。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仿宋" w:hAnsi="仿宋" w:eastAsia="仿宋" w:cs="仿宋"/>
          <w:sz w:val="30"/>
          <w:szCs w:val="30"/>
        </w:rPr>
        <w:t>申报主体须提交电子和纸质的能证明下表中各指标相符的实证材料，并按照下表的顺序将实证材料装订成册，且在材料前面附上材料目录（标明相关实证材料的页码）。电子版以光盘或U盘形式提供。包括但不限于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7592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申报产品</w:t>
            </w:r>
            <w:r>
              <w:rPr>
                <w:rFonts w:ascii="宋体" w:hAnsi="宋体" w:eastAsia="宋体"/>
                <w:sz w:val="24"/>
                <w:szCs w:val="24"/>
              </w:rPr>
              <w:t>/服务照片及申报主体全貌的照片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主体营业执照及注册商标证书，企业（产品</w:t>
            </w:r>
            <w:r>
              <w:rPr>
                <w:rFonts w:ascii="宋体" w:hAnsi="宋体" w:eastAsia="宋体"/>
                <w:sz w:val="24"/>
                <w:szCs w:val="24"/>
              </w:rPr>
              <w:t>/服务）品牌标识（提供矢量图或TIF、JPG（不小于400k）格式图）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市场准入认证证书（包括</w:t>
            </w:r>
            <w:r>
              <w:rPr>
                <w:rFonts w:ascii="宋体" w:hAnsi="宋体" w:eastAsia="宋体"/>
                <w:sz w:val="24"/>
                <w:szCs w:val="24"/>
              </w:rPr>
              <w:t>3C认证证书、食品安全市场准入证书、生产许可证证书、出口质量许可证证书、出口食品卫生注册登记管理证书等）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制定创新战略和实施计划，及资源保障提供情况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近三年平均研发占比（即研发投入费用占同期销售收入额的比例）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科研人员占比情况（</w:t>
            </w:r>
            <w:r>
              <w:rPr>
                <w:rFonts w:ascii="宋体" w:hAnsi="宋体" w:eastAsia="宋体"/>
                <w:sz w:val="24"/>
                <w:szCs w:val="24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近三年平均新产品</w:t>
            </w:r>
            <w:r>
              <w:rPr>
                <w:rFonts w:ascii="宋体" w:hAnsi="宋体" w:eastAsia="宋体"/>
                <w:sz w:val="24"/>
                <w:szCs w:val="24"/>
              </w:rPr>
              <w:t>/服务销售收入占比（新产品/服务销售收入占比=新产品销售收入÷主营业务收入×100%）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获得科学技术奖情况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获得专利、软件著作权、设计专利权等情况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参与国际、国家、行业及地方标准制修订情况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拥有国家、省级、市级各类研究技术机构情况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通过国家重点高新技术企业认定、国家、省或市创新型企业、高新技术企业认定等情况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近三年平均申报产品销售额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近三年平均申报产品出口额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近三年纳税额总额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建立并有效实施质量或行业相关管理体系情况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导入卓越绩效模式情况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质量管理人员占比（</w:t>
            </w:r>
            <w:r>
              <w:rPr>
                <w:rFonts w:ascii="宋体" w:hAnsi="宋体" w:eastAsia="宋体"/>
                <w:sz w:val="24"/>
                <w:szCs w:val="24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对供应商建立全面的管控体系情况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产品或服务标准中主要技术指标或服务质量先进性情况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建立和实施产品质量追溯系统和</w:t>
            </w:r>
            <w:r>
              <w:rPr>
                <w:rFonts w:ascii="宋体" w:hAnsi="宋体" w:eastAsia="宋体"/>
                <w:sz w:val="24"/>
                <w:szCs w:val="24"/>
              </w:rPr>
              <w:t>/或供应链溯源系统情况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建立和运行客户关系管理系统情况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近三年开展顾客满意度调查情况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品牌管理部门设置和资源配置情况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开展品牌保护、形象维护等方面的措施及成效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近三年品牌满意度调查的开展情况和结果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品牌近三年获得的荣誉称号或奖励情况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品牌产品或服务近三年平均市场占有率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品牌产品或服务近三年平均成本利润率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品牌产品或服务近三年平均销售额增长率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bookmarkStart w:id="2" w:name="_GoBack" w:colFirst="1" w:colLast="1"/>
            <w:r>
              <w:rPr>
                <w:rFonts w:ascii="宋体" w:hAnsi="宋体" w:eastAsia="宋体"/>
                <w:sz w:val="24"/>
                <w:szCs w:val="24"/>
              </w:rPr>
              <w:t>31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近三年发布社会责任报告或接受社会责任评价的情况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近三年无重大质量安全事故及严重违法违规记录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近三年参与社会公益活动总费用支出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环境管理体系认证情况、节能或绿色产品数量、绿色工厂创建情况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</w:t>
            </w:r>
            <w:r>
              <w:rPr>
                <w:rFonts w:ascii="宋体" w:hAnsi="宋体" w:eastAsia="宋体"/>
                <w:sz w:val="24"/>
                <w:szCs w:val="24"/>
              </w:rPr>
              <w:t>3年内，在产品设计和产品实现过程实行绿色和可持续发展理念，开展预防污染和节约资源的情况，废弃物处置和回收再利用情况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开展信用体系建设情况，提供由信用主管部门出具的信用报告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建立消费者权益保护制度，售后服务星级评价情况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建立员工合法权益保护制度，职业健康安全体系认证情况</w:t>
            </w:r>
          </w:p>
        </w:tc>
      </w:tr>
    </w:tbl>
    <w:p>
      <w:pPr>
        <w:ind w:firstLine="48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82"/>
    <w:rsid w:val="0047565F"/>
    <w:rsid w:val="004C0194"/>
    <w:rsid w:val="0056380C"/>
    <w:rsid w:val="00600DA1"/>
    <w:rsid w:val="00620614"/>
    <w:rsid w:val="00697395"/>
    <w:rsid w:val="007048C7"/>
    <w:rsid w:val="00734040"/>
    <w:rsid w:val="00A41982"/>
    <w:rsid w:val="00A87A2C"/>
    <w:rsid w:val="00C63992"/>
    <w:rsid w:val="00C83024"/>
    <w:rsid w:val="00CA591E"/>
    <w:rsid w:val="00F6352D"/>
    <w:rsid w:val="04B202E8"/>
    <w:rsid w:val="71FE5BB4"/>
    <w:rsid w:val="770E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1039</Characters>
  <Lines>8</Lines>
  <Paragraphs>2</Paragraphs>
  <TotalTime>77</TotalTime>
  <ScaleCrop>false</ScaleCrop>
  <LinksUpToDate>false</LinksUpToDate>
  <CharactersWithSpaces>1219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2020-11-21T09:51:00Z</dcterms:created>
  <dc:creator>闫 海强</dc:creator>
  <cp:lastModifiedBy>Tangmin</cp:lastModifiedBy>
  <dcterms:modified xsi:type="dcterms:W3CDTF">2020-12-10T10:47:25Z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